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F9C94" w14:textId="77777777" w:rsidR="00CC61B7" w:rsidRPr="00052871" w:rsidRDefault="00CC61B7" w:rsidP="00142598">
      <w:pPr>
        <w:pStyle w:val="Tjkoztatcm"/>
      </w:pPr>
      <w:bookmarkStart w:id="0" w:name="_GoBack"/>
      <w:bookmarkEnd w:id="0"/>
      <w:r w:rsidRPr="00052871">
        <w:t>ÖSSZEFOGLALÓ A JOGI SZEMÉLYEK LEGFŐBB SZERVI ÉS TESTÜLETI HATÁROZATHOZATALÁNAK LEHETŐSÉGEIRŐL</w:t>
      </w:r>
    </w:p>
    <w:p w14:paraId="70369495" w14:textId="2F5C1026" w:rsidR="00CC61B7" w:rsidRPr="00052871" w:rsidRDefault="00CC61B7" w:rsidP="00213463">
      <w:pPr>
        <w:pStyle w:val="Tjkoztatcm"/>
      </w:pPr>
      <w:r w:rsidRPr="00052871">
        <w:t>2020. április 10</w:t>
      </w:r>
      <w:r w:rsidR="00EA0224" w:rsidRPr="00052871">
        <w:t>.</w:t>
      </w:r>
    </w:p>
    <w:p w14:paraId="0526C1D8" w14:textId="77777777" w:rsidR="00CC61B7" w:rsidRPr="00052871" w:rsidRDefault="00CC61B7" w:rsidP="00213463">
      <w:pPr>
        <w:pStyle w:val="Tjkoztatszveg"/>
      </w:pPr>
      <w:r w:rsidRPr="00052871">
        <w:t xml:space="preserve">A Kormány 102/2020. (IV.10). sz rendelete jogszabállyal kívánja rendezni és biztosítani, hogy a jogi személyek a legfőbb szerv üléseinek összehívása nélkül is törvényesen működhessenek, ideértve akár a számviteli törvény szerinti beszámoló elfogadását is. Az új, veszélyhelyzetre figyelemmel kihirdetett jogszabály </w:t>
      </w:r>
      <w:r w:rsidRPr="00052871">
        <w:rPr>
          <w:b/>
          <w:bCs/>
        </w:rPr>
        <w:t>minden vállalkozás számára lehetővé teszi a határozathozatalt legfőbb szerv „fizikális” összehívása nélkül, online úton vagy írásbeli határozathozatallal</w:t>
      </w:r>
      <w:r w:rsidRPr="00052871">
        <w:t xml:space="preserve">. Kivételes esetben, a jogi személyek törvényes működésének biztosítása érdekében pedig akár az </w:t>
      </w:r>
      <w:r w:rsidRPr="00052871">
        <w:rPr>
          <w:b/>
          <w:bCs/>
        </w:rPr>
        <w:t>ügyvezetés is gyakorolhat eredetileg a legfőbb szerv hatáskörébe tartozó jogköröket</w:t>
      </w:r>
      <w:r w:rsidRPr="00052871">
        <w:t xml:space="preserve">. </w:t>
      </w:r>
    </w:p>
    <w:p w14:paraId="5006E259" w14:textId="77777777" w:rsidR="00CC61B7" w:rsidRPr="00052871" w:rsidRDefault="00CC61B7" w:rsidP="00213463">
      <w:pPr>
        <w:pStyle w:val="Tjkoztatszveg"/>
      </w:pPr>
      <w:r w:rsidRPr="00052871">
        <w:t xml:space="preserve">Főszabály szerint a jogi személy döntéshozó szervének ülése – ideértve küldöttgyűlést és a részközgyűlést is – nem tartható meg olyan módon, hogy </w:t>
      </w:r>
      <w:proofErr w:type="gramStart"/>
      <w:r w:rsidRPr="00052871">
        <w:t>az  a</w:t>
      </w:r>
      <w:proofErr w:type="gramEnd"/>
      <w:r w:rsidRPr="00052871">
        <w:t xml:space="preserve">  tag személyes részvételét igényelje, abban az esetben sem, ha az ülés e rendelet hatálybalépésekor már összehívásra került. </w:t>
      </w:r>
    </w:p>
    <w:p w14:paraId="5E5D12A3" w14:textId="77777777" w:rsidR="00CC61B7" w:rsidRPr="00052871" w:rsidRDefault="00CC61B7" w:rsidP="00213463">
      <w:pPr>
        <w:pStyle w:val="Tjkoztatszveg"/>
      </w:pPr>
      <w:r w:rsidRPr="00052871">
        <w:t>Ez alól kivétel, ha a legfőbb szerv a kijárási korlátozásra vonatkozó előírások betartása mellet sem akadályozott a döntéshozatalban. Tipikusan ilyen lehet az egy háztartásban élő tagok által alkotott (családi) vállalkozások esete.</w:t>
      </w:r>
    </w:p>
    <w:p w14:paraId="400A2383" w14:textId="77777777" w:rsidR="00CC61B7" w:rsidRPr="00052871" w:rsidRDefault="00CC61B7" w:rsidP="00213463">
      <w:pPr>
        <w:pStyle w:val="Tjkoztatszveg"/>
      </w:pPr>
      <w:r w:rsidRPr="00052871">
        <w:t>A jogi személyek működését szabályozó Ptk. alapján a legfőbb szerv összehívása nélkül írásban és elektronikus hírközlő eszköz útján van mód határozatot hozni, azonban kizárólag akkor, ha erre a létesítő okirat felhatalmazást ad és a részletszabályokat is tartalmazza.</w:t>
      </w:r>
    </w:p>
    <w:p w14:paraId="269CD2CB" w14:textId="77777777" w:rsidR="00CC61B7" w:rsidRPr="00052871" w:rsidRDefault="00CC61B7" w:rsidP="004512C5">
      <w:pPr>
        <w:pStyle w:val="Tjkoztatfelsorolstrzs"/>
      </w:pPr>
      <w:r w:rsidRPr="00052871">
        <w:t xml:space="preserve">Ezzel szemben a Kormány rendelete általános felhatalmazást ad arra, hogy a jogi személy döntéshozó szervének </w:t>
      </w:r>
    </w:p>
    <w:p w14:paraId="29A95D2B" w14:textId="77777777" w:rsidR="00CC61B7" w:rsidRPr="00052871" w:rsidRDefault="00CC61B7" w:rsidP="007F6D73">
      <w:pPr>
        <w:pStyle w:val="Tjkoztatfelsorolstrzs"/>
      </w:pPr>
      <w:r w:rsidRPr="00052871">
        <w:t xml:space="preserve">a) ülése a tag elektronikus hírközlő eszköz igénybevételével történő részvételével tartható meg </w:t>
      </w:r>
      <w:r w:rsidRPr="00052871">
        <w:rPr>
          <w:b/>
          <w:bCs/>
          <w:u w:val="single"/>
        </w:rPr>
        <w:t>(online ülés)</w:t>
      </w:r>
      <w:r w:rsidRPr="00052871">
        <w:t xml:space="preserve">, vagy </w:t>
      </w:r>
    </w:p>
    <w:p w14:paraId="61681103" w14:textId="77777777" w:rsidR="00CC61B7" w:rsidRPr="00052871" w:rsidRDefault="00CC61B7" w:rsidP="007F6D73">
      <w:pPr>
        <w:pStyle w:val="Tjkoztatfelsorolstrzs"/>
      </w:pPr>
      <w:r w:rsidRPr="00052871">
        <w:t>b) határozathozatalára – ha a jogi személyre vonatkozó törvényi előírás az ülés tartása nélküli döntéshozatalt nem zárja ki – az ügyvezetés kezdeményezésére ülés tartása nélkül is sor kerülhet (</w:t>
      </w:r>
      <w:r w:rsidRPr="00052871">
        <w:rPr>
          <w:b/>
          <w:bCs/>
        </w:rPr>
        <w:t>írásbeli határozathozatal</w:t>
      </w:r>
      <w:r w:rsidRPr="00052871">
        <w:t>).</w:t>
      </w:r>
    </w:p>
    <w:p w14:paraId="690AB48D" w14:textId="77777777" w:rsidR="00CC61B7" w:rsidRPr="00052871" w:rsidRDefault="00CC61B7" w:rsidP="007F6D73">
      <w:pPr>
        <w:pStyle w:val="Tjkoztatfelsorolstrzs"/>
      </w:pPr>
      <w:r w:rsidRPr="00052871">
        <w:t>Ezen eljárások alkalmazhatóságát a Rendelet a tagok számától teszi függővé.  </w:t>
      </w:r>
    </w:p>
    <w:p w14:paraId="2F64A9EF" w14:textId="77777777" w:rsidR="00CC61B7" w:rsidRPr="00052871" w:rsidRDefault="00CC61B7" w:rsidP="007F6D73">
      <w:pPr>
        <w:pStyle w:val="Tjkoztatfelsorolstrzs"/>
      </w:pPr>
      <w:r w:rsidRPr="00052871">
        <w:t xml:space="preserve">Ha a jogi személy tagjainak száma </w:t>
      </w:r>
      <w:r w:rsidRPr="00052871">
        <w:rPr>
          <w:b/>
          <w:bCs/>
        </w:rPr>
        <w:t>legfeljebb 5 fő</w:t>
      </w:r>
      <w:r w:rsidRPr="00052871">
        <w:t xml:space="preserve">, és a döntéshozó szerv határozatképessége online üléssel vagy írásbeli határozathozatallal előre láthatóan biztosítható, úgy a </w:t>
      </w:r>
      <w:r w:rsidRPr="00052871">
        <w:rPr>
          <w:b/>
          <w:bCs/>
        </w:rPr>
        <w:t>döntéshozatalra online vagy írásbeli úton kell, hogy sor kerüljön</w:t>
      </w:r>
      <w:r w:rsidRPr="00052871">
        <w:t xml:space="preserve"> azzal, hogy a döntéshozatal módját és feltételeit úgy kell meghatározni, hogy a döntéshozatalban valamennyi tag részt tudjon venni. Ennek megfelelően az 5 fő alatti jogi személyeknél kötelező ez a döntéshozatali forma.  </w:t>
      </w:r>
    </w:p>
    <w:p w14:paraId="4E7CB0DE" w14:textId="77777777" w:rsidR="00CC61B7" w:rsidRPr="00052871" w:rsidRDefault="00CC61B7" w:rsidP="007F6D73">
      <w:pPr>
        <w:pStyle w:val="Tjkoztatfelsorolstrzs"/>
      </w:pPr>
      <w:r w:rsidRPr="00052871">
        <w:t>Az 5</w:t>
      </w:r>
      <w:r w:rsidRPr="00052871">
        <w:rPr>
          <w:b/>
          <w:bCs/>
          <w:u w:val="single"/>
        </w:rPr>
        <w:t xml:space="preserve"> főt meghaladó, de 10 főt meg nem haladó</w:t>
      </w:r>
      <w:r w:rsidRPr="00052871">
        <w:t xml:space="preserve"> taglétszámú jogi személy esetén akkor van helye ezen eljárásoknak, ha a szavazatok</w:t>
      </w:r>
      <w:r w:rsidRPr="00052871">
        <w:rPr>
          <w:b/>
          <w:bCs/>
        </w:rPr>
        <w:t xml:space="preserve"> többségével rendelkező tagok azt kérik</w:t>
      </w:r>
      <w:r w:rsidRPr="00052871">
        <w:t xml:space="preserve">, </w:t>
      </w:r>
      <w:proofErr w:type="gramStart"/>
      <w:r w:rsidRPr="00052871">
        <w:t xml:space="preserve">a  </w:t>
      </w:r>
      <w:r w:rsidRPr="00052871">
        <w:rPr>
          <w:b/>
          <w:bCs/>
        </w:rPr>
        <w:t>tíz</w:t>
      </w:r>
      <w:proofErr w:type="gramEnd"/>
      <w:r w:rsidRPr="00052871">
        <w:rPr>
          <w:b/>
          <w:bCs/>
        </w:rPr>
        <w:t xml:space="preserve"> főt </w:t>
      </w:r>
      <w:r w:rsidRPr="00052871">
        <w:rPr>
          <w:b/>
          <w:bCs/>
        </w:rPr>
        <w:lastRenderedPageBreak/>
        <w:t>meghaladó taglétszámú</w:t>
      </w:r>
      <w:r w:rsidRPr="00052871">
        <w:t xml:space="preserve"> jogi személy esetén pedig, ha a  jogi személy ügyvezetése azt kezdeményezi.</w:t>
      </w:r>
    </w:p>
    <w:p w14:paraId="507E2AD7" w14:textId="77777777" w:rsidR="00CC61B7" w:rsidRPr="00052871" w:rsidRDefault="00CC61B7" w:rsidP="007F6D73">
      <w:pPr>
        <w:pStyle w:val="Tjkoztatfelsorolstrzs"/>
      </w:pPr>
      <w:r w:rsidRPr="00052871">
        <w:t xml:space="preserve">A Rendelet részletesen szabályozza mind az elektronikus hírközlő eszköz útján történő részvétel mind pedig az írásbeli szavazás eljárásrendjét, feltételeit. </w:t>
      </w:r>
    </w:p>
    <w:p w14:paraId="5BA55FE0" w14:textId="77777777" w:rsidR="00CC61B7" w:rsidRPr="00052871" w:rsidRDefault="00CC61B7" w:rsidP="007F6D73">
      <w:pPr>
        <w:pStyle w:val="Tjkoztatfelsorolstrzs"/>
      </w:pPr>
      <w:r w:rsidRPr="00052871">
        <w:rPr>
          <w:b/>
          <w:bCs/>
        </w:rPr>
        <w:t>Amennyiben a határozathozatalra a fenti feltételek mentén nincs jogi lehetőség</w:t>
      </w:r>
      <w:r w:rsidRPr="00052871">
        <w:t xml:space="preserve"> (mert mondjuk a többségi tagok azt nem kérik), úgy </w:t>
      </w:r>
    </w:p>
    <w:p w14:paraId="725BF39B" w14:textId="6F0763DD" w:rsidR="00CC61B7" w:rsidRPr="00052871" w:rsidRDefault="00EA0224" w:rsidP="00024A7E">
      <w:pPr>
        <w:pStyle w:val="Tjkoztatfelsorolstrzs"/>
      </w:pPr>
      <w:r w:rsidRPr="00052871">
        <w:t xml:space="preserve">a) </w:t>
      </w:r>
      <w:r w:rsidR="00CC61B7" w:rsidRPr="00052871">
        <w:t xml:space="preserve">a számviteli törvény szerinti beszámoló elfogadásáról, </w:t>
      </w:r>
    </w:p>
    <w:p w14:paraId="4C9D7C57" w14:textId="6A0B5AC8" w:rsidR="00CC61B7" w:rsidRPr="00052871" w:rsidRDefault="00EA0224" w:rsidP="00024A7E">
      <w:pPr>
        <w:pStyle w:val="Tjkoztatfelsorolstrzs"/>
      </w:pPr>
      <w:r w:rsidRPr="00052871">
        <w:t xml:space="preserve">b) </w:t>
      </w:r>
      <w:r w:rsidR="00CC61B7" w:rsidRPr="00052871">
        <w:t xml:space="preserve">az adózott eredmény felhasználásáról és </w:t>
      </w:r>
    </w:p>
    <w:p w14:paraId="50B7F956" w14:textId="7D5C7819" w:rsidR="00CC61B7" w:rsidRPr="00052871" w:rsidRDefault="00EA0224" w:rsidP="00024A7E">
      <w:pPr>
        <w:pStyle w:val="Tjkoztatfelsorolstrzs"/>
      </w:pPr>
      <w:r w:rsidRPr="00052871">
        <w:t xml:space="preserve">c) </w:t>
      </w:r>
      <w:r w:rsidR="00CC61B7" w:rsidRPr="00052871">
        <w:t>a döntéshozó szerv hatáskörbe tartozó, azonban a jogi személy törvényes működésének fenntartásához, a veszélyhelyzet miatt kialakult helyzet kezeléséhez szükséges, valamint az észszerű és felelős gazdálkodás körében felmerülő halaszthatatlan ügyekben  </w:t>
      </w:r>
    </w:p>
    <w:p w14:paraId="3CE52904" w14:textId="77777777" w:rsidR="00CC61B7" w:rsidRPr="00052871" w:rsidRDefault="00CC61B7" w:rsidP="00024A7E">
      <w:pPr>
        <w:pStyle w:val="Tjkoztatszveg"/>
      </w:pPr>
      <w:r w:rsidRPr="00052871">
        <w:t>a jogi személy ügyvezetése határoz, az alábbi kivételekkel.  </w:t>
      </w:r>
    </w:p>
    <w:p w14:paraId="03255399" w14:textId="77777777" w:rsidR="00CC61B7" w:rsidRPr="00052871" w:rsidRDefault="00CC61B7" w:rsidP="00024A7E">
      <w:pPr>
        <w:pStyle w:val="Tjkoztatszveg"/>
      </w:pPr>
      <w:r w:rsidRPr="00052871">
        <w:t xml:space="preserve">A jogi személy ügyvezetése </w:t>
      </w:r>
    </w:p>
    <w:p w14:paraId="4A04B57A" w14:textId="77777777" w:rsidR="00CC61B7" w:rsidRPr="00052871" w:rsidRDefault="00CC61B7" w:rsidP="00024A7E">
      <w:pPr>
        <w:pStyle w:val="Tjkoztatfelsorolstrzs"/>
      </w:pPr>
      <w:r w:rsidRPr="00052871">
        <w:t xml:space="preserve">a) a jogi személy létesítő okiratát nem módosíthatja, kivéve, ha arra a veszélyhelyzet ideje alatt hatályba lépő jogszabály rendelkezése alapján van szükség, </w:t>
      </w:r>
    </w:p>
    <w:p w14:paraId="31B2D933" w14:textId="77777777" w:rsidR="00CC61B7" w:rsidRPr="00052871" w:rsidRDefault="00CC61B7" w:rsidP="00024A7E">
      <w:pPr>
        <w:pStyle w:val="Tjkoztatfelsorolstrzs"/>
      </w:pPr>
      <w:r w:rsidRPr="00052871">
        <w:t xml:space="preserve">b) a jogi személy jogutód nélküli megszűnéséről nem dönthet, </w:t>
      </w:r>
    </w:p>
    <w:p w14:paraId="354335C5" w14:textId="77777777" w:rsidR="00CC61B7" w:rsidRPr="00052871" w:rsidRDefault="00CC61B7" w:rsidP="00024A7E">
      <w:pPr>
        <w:pStyle w:val="Tjkoztatfelsorolstrzs"/>
      </w:pPr>
      <w:r w:rsidRPr="00052871">
        <w:t xml:space="preserve">c) a jogi személy átalakulását, egyesülését vagy szétválását nem határozhatja el és folyamatban lévő átalakulásban, egyesülésben vagy szétválásban a döntéshozó szerv hatáskörébe tartozó kérdésben nem dönthet, </w:t>
      </w:r>
    </w:p>
    <w:p w14:paraId="6E72A1E7" w14:textId="77777777" w:rsidR="00CC61B7" w:rsidRPr="00052871" w:rsidRDefault="00CC61B7" w:rsidP="00024A7E">
      <w:pPr>
        <w:pStyle w:val="Tjkoztatfelsorolstrzs"/>
      </w:pPr>
      <w:r w:rsidRPr="00052871">
        <w:t xml:space="preserve">d) korlátolt felelősségű társaság, részvénytársaság esetén a jegyzett tőke leszállításáról nem dönthet, </w:t>
      </w:r>
    </w:p>
    <w:p w14:paraId="3EBA04DE" w14:textId="77777777" w:rsidR="00CC61B7" w:rsidRPr="00052871" w:rsidRDefault="00CC61B7" w:rsidP="00024A7E">
      <w:pPr>
        <w:pStyle w:val="Tjkoztatfelsorolsutolselem"/>
      </w:pPr>
      <w:r w:rsidRPr="00052871">
        <w:t>e) pótbefizetésről vagy egyéb tőkepótlásról csak akkor dönthet, ha az a tagok jogi személyben fennálló részesedése mértékét nem érinti és a pótbefizetésre vagy egyéb befizetésre kötelezettek ehhez előzetesen írásban hozzájárulnak.</w:t>
      </w:r>
    </w:p>
    <w:p w14:paraId="636FA16D" w14:textId="77777777" w:rsidR="00CC61B7" w:rsidRPr="00052871" w:rsidRDefault="00CC61B7" w:rsidP="004560DA">
      <w:pPr>
        <w:pStyle w:val="Tjkoztatszveg"/>
      </w:pPr>
      <w:r w:rsidRPr="00052871">
        <w:t>További garanciális feltétel, hogy az ügyvezetés döntést csak akkor hozhat, ha a szavazatok 25%-át meghaladó részesedéssel rendelkező tagok a döntés meghozatalát megelőző írásbeli véleményükben legalább a szavazatok 51%-át elérő mértékben a határozati javaslattal szemben nem tiltakoznak, ha a jogi személynek a Ptk.  szerinti többségi befolyással vagy minősített többséggel rendelkező tagja van, akkor e tag az előzetes írásbeli véleményében a határozati javaslattal szemben nem tiltakozik.</w:t>
      </w:r>
    </w:p>
    <w:p w14:paraId="688CBB48" w14:textId="77777777" w:rsidR="00CC61B7" w:rsidRPr="00052871" w:rsidRDefault="00CC61B7" w:rsidP="004560DA">
      <w:pPr>
        <w:pStyle w:val="Tjkoztatszveg"/>
      </w:pPr>
      <w:r w:rsidRPr="00052871">
        <w:t xml:space="preserve">A veszélyhelyzet alatt legfőbb szervi hatáskörben hozott ügyvezetői döntéseket a rendkívüli állapot megszűnését követő 90 napon belül összehívandó legfőbb szervi ülésen kell utólagosan jóváhagyni. Jóváhagyás hiánya sem érinti az azt megelőzően keletkezett jogokat és kötelezettségeket. </w:t>
      </w:r>
    </w:p>
    <w:p w14:paraId="7AF2BF7B" w14:textId="77777777" w:rsidR="00CC61B7" w:rsidRPr="00052871" w:rsidRDefault="00CC61B7" w:rsidP="004560DA">
      <w:pPr>
        <w:pStyle w:val="Tjkoztatszveg"/>
      </w:pPr>
      <w:r w:rsidRPr="00052871">
        <w:t xml:space="preserve">Az online ülés vagy írásbeli határozathozatal lehetőségét a jogszabály az ügyvezető testületek (igazgatóság), felügyelőbizottság és más társasági testületi szervek részére is biztosítja. </w:t>
      </w:r>
    </w:p>
    <w:p w14:paraId="5F3B5236" w14:textId="3AC1292B" w:rsidR="00CC61B7" w:rsidRDefault="00CC61B7" w:rsidP="004560DA">
      <w:pPr>
        <w:pStyle w:val="Tjkoztatszveg"/>
      </w:pPr>
      <w:r w:rsidRPr="00052871">
        <w:lastRenderedPageBreak/>
        <w:t>Ami pedig az írásbeli eljárás informatikai oldalát érinti, a jogi személy az írásbeli jognyilatkozatokat minősített vagy minősített tanúsítványon alapuló fokozott biztonságú elektronikus aláírással vagy elektronikus bélyegzővel, ennek hiányában azonosításra visszavezetett dokumentumhitelesítés szolgáltatással való hitelesítéssel aláírva a tag elektronikus levelezési címére (e-mail) is megküldheti. A tagok pedig a jogi személlyel kapcsolatos jognyilatkozataikat egyszerű elektronikus üzenetben (e-mail) is közölhetik a jogi személlyel.</w:t>
      </w:r>
    </w:p>
    <w:p w14:paraId="1F553050" w14:textId="6F5FD50C" w:rsidR="00082766" w:rsidRPr="00C8720C" w:rsidRDefault="00C8720C" w:rsidP="004560DA">
      <w:pPr>
        <w:pStyle w:val="Tjkoztatszveg"/>
        <w:rPr>
          <w:i/>
          <w:iCs/>
        </w:rPr>
      </w:pPr>
      <w:r w:rsidRPr="00C8720C">
        <w:rPr>
          <w:i/>
          <w:iCs/>
        </w:rPr>
        <w:t>A</w:t>
      </w:r>
      <w:r w:rsidR="00082766" w:rsidRPr="00C8720C">
        <w:rPr>
          <w:i/>
          <w:iCs/>
        </w:rPr>
        <w:t xml:space="preserve"> tájékoztató nem helyettesíti az ügyvédhez fordulást, sem az előkészítő, sem a MÜK nem tud felelősséget vállalni az egyedi ügyben való alkalmazásért.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60DA" w14:paraId="5D073F86" w14:textId="77777777" w:rsidTr="004560DA">
        <w:tc>
          <w:tcPr>
            <w:tcW w:w="4531" w:type="dxa"/>
          </w:tcPr>
          <w:p w14:paraId="199E64EF" w14:textId="77777777" w:rsidR="004560DA" w:rsidRDefault="004560DA" w:rsidP="00CC6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</w:tcPr>
          <w:p w14:paraId="46118E0B" w14:textId="77777777" w:rsidR="004560DA" w:rsidRPr="00052871" w:rsidRDefault="004560DA" w:rsidP="00456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287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dr. Havasi Bence</w:t>
            </w:r>
          </w:p>
          <w:p w14:paraId="6C92F67E" w14:textId="2A83165C" w:rsidR="004560DA" w:rsidRDefault="004560DA" w:rsidP="00456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287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ügyvéd/</w:t>
            </w:r>
            <w:proofErr w:type="spellStart"/>
            <w:r w:rsidRPr="0005287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avvocato</w:t>
            </w:r>
            <w:proofErr w:type="spellEnd"/>
            <w:r w:rsidRPr="0005287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05287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attorney-at-law</w:t>
            </w:r>
            <w:proofErr w:type="spellEnd"/>
            <w:r w:rsidRPr="0005287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14:paraId="6BE4B76C" w14:textId="67C6860D" w:rsidR="00CC61B7" w:rsidRPr="00052871" w:rsidRDefault="00CC61B7" w:rsidP="00CC61B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A5F3CB9" w14:textId="77777777" w:rsidR="00E27165" w:rsidRDefault="00E27165"/>
    <w:sectPr w:rsidR="00E271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CBE8E" w14:textId="77777777" w:rsidR="000C6B2A" w:rsidRDefault="000C6B2A" w:rsidP="00030CF8">
      <w:r>
        <w:separator/>
      </w:r>
    </w:p>
  </w:endnote>
  <w:endnote w:type="continuationSeparator" w:id="0">
    <w:p w14:paraId="11529068" w14:textId="77777777" w:rsidR="000C6B2A" w:rsidRDefault="000C6B2A" w:rsidP="0003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ettenschweiler">
    <w:altName w:val="Impact"/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CB0A" w14:textId="77777777" w:rsidR="004560DA" w:rsidRPr="00052871" w:rsidRDefault="004560DA" w:rsidP="004560DA">
    <w:pPr>
      <w:jc w:val="both"/>
      <w:rPr>
        <w:rFonts w:ascii="Times New Roman" w:hAnsi="Times New Roman" w:cs="Times New Roman"/>
        <w:sz w:val="24"/>
        <w:szCs w:val="24"/>
        <w:lang w:eastAsia="hu-HU"/>
      </w:rPr>
    </w:pPr>
    <w:r w:rsidRPr="00052871">
      <w:rPr>
        <w:rFonts w:ascii="Times New Roman" w:hAnsi="Times New Roman" w:cs="Times New Roman"/>
        <w:sz w:val="24"/>
        <w:szCs w:val="24"/>
        <w:lang w:eastAsia="hu-HU"/>
      </w:rPr>
      <w:t>Havasi Ügyvédi Iroda</w:t>
    </w:r>
  </w:p>
  <w:p w14:paraId="09F904C5" w14:textId="2C00F757" w:rsidR="004560DA" w:rsidRPr="00052871" w:rsidRDefault="004560DA" w:rsidP="004560DA">
    <w:pPr>
      <w:jc w:val="both"/>
      <w:rPr>
        <w:rFonts w:ascii="Times New Roman" w:hAnsi="Times New Roman" w:cs="Times New Roman"/>
        <w:sz w:val="24"/>
        <w:szCs w:val="24"/>
        <w:lang w:eastAsia="hu-HU"/>
      </w:rPr>
    </w:pPr>
    <w:r w:rsidRPr="00052871">
      <w:rPr>
        <w:rFonts w:ascii="Times New Roman" w:hAnsi="Times New Roman" w:cs="Times New Roman"/>
        <w:sz w:val="24"/>
        <w:szCs w:val="24"/>
        <w:lang w:eastAsia="hu-HU"/>
      </w:rPr>
      <w:t>9022 Gy</w:t>
    </w:r>
    <w:r w:rsidR="0030770C">
      <w:rPr>
        <w:rFonts w:ascii="Times New Roman" w:hAnsi="Times New Roman" w:cs="Times New Roman"/>
        <w:sz w:val="24"/>
        <w:szCs w:val="24"/>
        <w:lang w:eastAsia="hu-HU"/>
      </w:rPr>
      <w:t>ő</w:t>
    </w:r>
    <w:r w:rsidRPr="00052871">
      <w:rPr>
        <w:rFonts w:ascii="Times New Roman" w:hAnsi="Times New Roman" w:cs="Times New Roman"/>
        <w:sz w:val="24"/>
        <w:szCs w:val="24"/>
        <w:lang w:eastAsia="hu-HU"/>
      </w:rPr>
      <w:t>r, Kiss János u. 7/A.</w:t>
    </w:r>
  </w:p>
  <w:p w14:paraId="3138ADA5" w14:textId="77777777" w:rsidR="004560DA" w:rsidRPr="00052871" w:rsidRDefault="004560DA" w:rsidP="004560DA">
    <w:pPr>
      <w:jc w:val="both"/>
      <w:rPr>
        <w:rFonts w:ascii="Times New Roman" w:hAnsi="Times New Roman" w:cs="Times New Roman"/>
        <w:sz w:val="24"/>
        <w:szCs w:val="24"/>
        <w:lang w:eastAsia="hu-HU"/>
      </w:rPr>
    </w:pPr>
    <w:r w:rsidRPr="00052871">
      <w:rPr>
        <w:rFonts w:ascii="Times New Roman" w:hAnsi="Times New Roman" w:cs="Times New Roman"/>
        <w:sz w:val="24"/>
        <w:szCs w:val="24"/>
        <w:lang w:eastAsia="hu-HU"/>
      </w:rPr>
      <w:t>0036 96 526-905</w:t>
    </w:r>
  </w:p>
  <w:p w14:paraId="20A481F4" w14:textId="6584A455" w:rsidR="004560DA" w:rsidRDefault="001F697F" w:rsidP="005670D9">
    <w:pPr>
      <w:jc w:val="both"/>
    </w:pPr>
    <w:hyperlink r:id="rId1" w:history="1">
      <w:r w:rsidR="004560DA" w:rsidRPr="00052871">
        <w:rPr>
          <w:rStyle w:val="Hiperhivatkozs"/>
          <w:rFonts w:ascii="Times New Roman" w:hAnsi="Times New Roman" w:cs="Times New Roman"/>
          <w:sz w:val="24"/>
          <w:szCs w:val="24"/>
          <w:lang w:eastAsia="hu-HU"/>
        </w:rPr>
        <w:t>www.havasiadvocat.com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735E" w14:textId="77777777" w:rsidR="000C6B2A" w:rsidRDefault="000C6B2A" w:rsidP="00030CF8">
      <w:r>
        <w:separator/>
      </w:r>
    </w:p>
  </w:footnote>
  <w:footnote w:type="continuationSeparator" w:id="0">
    <w:p w14:paraId="45F2C937" w14:textId="77777777" w:rsidR="000C6B2A" w:rsidRDefault="000C6B2A" w:rsidP="0003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4759"/>
      <w:gridCol w:w="4313"/>
    </w:tblGrid>
    <w:tr w:rsidR="00030CF8" w14:paraId="17C67647" w14:textId="77777777" w:rsidTr="00052871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tbl>
          <w:tblPr>
            <w:tblpPr w:leftFromText="141" w:rightFromText="141" w:vertAnchor="text" w:tblpY="1"/>
            <w:tblOverlap w:val="never"/>
            <w:tblW w:w="4543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60"/>
            <w:gridCol w:w="483"/>
          </w:tblGrid>
          <w:tr w:rsidR="00052871" w14:paraId="32FCCF17" w14:textId="77777777" w:rsidTr="00BF35EB">
            <w:trPr>
              <w:trHeight w:val="1668"/>
            </w:trPr>
            <w:tc>
              <w:tcPr>
                <w:tcW w:w="4060" w:type="dxa"/>
              </w:tcPr>
              <w:p w14:paraId="76941FEE" w14:textId="77777777" w:rsidR="00052871" w:rsidRPr="00A37901" w:rsidRDefault="00052871" w:rsidP="00052871">
                <w:pPr>
                  <w:pStyle w:val="lfej"/>
                  <w:spacing w:before="120"/>
                  <w:ind w:left="-170"/>
                  <w:jc w:val="center"/>
                  <w:rPr>
                    <w:b/>
                    <w:color w:val="003366"/>
                    <w:spacing w:val="-24"/>
                    <w:sz w:val="52"/>
                  </w:rPr>
                </w:pPr>
                <w:smartTag w:uri="urn:schemas-microsoft-com:office:smarttags" w:element="PersonName">
                  <w:smartTagPr>
                    <w:attr w:name="ProductID" w:val="Havasi Ügyvédi Iroda"/>
                  </w:smartTagPr>
                  <w:r w:rsidRPr="00A37901">
                    <w:rPr>
                      <w:b/>
                      <w:i/>
                      <w:color w:val="003366"/>
                      <w:spacing w:val="-24"/>
                      <w:sz w:val="52"/>
                    </w:rPr>
                    <w:t>Havasi Ügyvédi Iroda</w:t>
                  </w:r>
                </w:smartTag>
              </w:p>
              <w:p w14:paraId="2B99DEAE" w14:textId="77777777" w:rsidR="00052871" w:rsidRDefault="00052871" w:rsidP="00052871">
                <w:pPr>
                  <w:pBdr>
                    <w:bottom w:val="thinThickSmallGap" w:sz="24" w:space="1" w:color="666633"/>
                  </w:pBdr>
                  <w:tabs>
                    <w:tab w:val="left" w:pos="1485"/>
                  </w:tabs>
                  <w:jc w:val="center"/>
                </w:pPr>
                <w:proofErr w:type="spellStart"/>
                <w:r>
                  <w:rPr>
                    <w:i/>
                    <w:spacing w:val="10"/>
                    <w:sz w:val="16"/>
                  </w:rPr>
                  <w:t>lawfirm</w:t>
                </w:r>
                <w:proofErr w:type="spellEnd"/>
                <w:r>
                  <w:rPr>
                    <w:i/>
                    <w:spacing w:val="10"/>
                    <w:sz w:val="16"/>
                  </w:rPr>
                  <w:t xml:space="preserve"> </w:t>
                </w:r>
                <w:r>
                  <w:rPr>
                    <w:i/>
                    <w:spacing w:val="10"/>
                    <w:sz w:val="16"/>
                  </w:rPr>
                  <w:sym w:font="Wingdings" w:char="F077"/>
                </w:r>
                <w:r>
                  <w:rPr>
                    <w:i/>
                    <w:spacing w:val="1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pacing w:val="10"/>
                    <w:sz w:val="16"/>
                  </w:rPr>
                  <w:t>Rechtsanwaltkanzlei</w:t>
                </w:r>
                <w:proofErr w:type="spellEnd"/>
                <w:r>
                  <w:rPr>
                    <w:i/>
                    <w:spacing w:val="10"/>
                    <w:sz w:val="16"/>
                  </w:rPr>
                  <w:t xml:space="preserve"> </w:t>
                </w:r>
                <w:r>
                  <w:rPr>
                    <w:i/>
                    <w:spacing w:val="10"/>
                    <w:sz w:val="16"/>
                  </w:rPr>
                  <w:sym w:font="Wingdings" w:char="F077"/>
                </w:r>
                <w:r>
                  <w:rPr>
                    <w:i/>
                    <w:spacing w:val="10"/>
                    <w:sz w:val="16"/>
                  </w:rPr>
                  <w:t xml:space="preserve">  </w:t>
                </w:r>
                <w:proofErr w:type="spellStart"/>
                <w:r>
                  <w:rPr>
                    <w:i/>
                    <w:spacing w:val="10"/>
                    <w:sz w:val="16"/>
                  </w:rPr>
                  <w:t>studio</w:t>
                </w:r>
                <w:proofErr w:type="spellEnd"/>
                <w:r>
                  <w:rPr>
                    <w:i/>
                    <w:spacing w:val="1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pacing w:val="10"/>
                    <w:sz w:val="16"/>
                  </w:rPr>
                  <w:t>legale</w:t>
                </w:r>
                <w:proofErr w:type="spellEnd"/>
              </w:p>
            </w:tc>
            <w:tc>
              <w:tcPr>
                <w:tcW w:w="483" w:type="dxa"/>
              </w:tcPr>
              <w:p w14:paraId="49007E5F" w14:textId="77777777" w:rsidR="00052871" w:rsidRDefault="00052871" w:rsidP="00052871">
                <w:pPr>
                  <w:pStyle w:val="lfej"/>
                  <w:rPr>
                    <w:rFonts w:ascii="Haettenschweiler" w:hAnsi="Haettenschweiler"/>
                    <w:sz w:val="40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tc>
          </w:tr>
        </w:tbl>
        <w:p w14:paraId="43866028" w14:textId="77777777" w:rsidR="00030CF8" w:rsidRDefault="00030CF8">
          <w:pPr>
            <w:pStyle w:val="lfej"/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1523C197" w14:textId="77777777" w:rsidR="00030CF8" w:rsidRDefault="00030CF8" w:rsidP="00052871"/>
      </w:tc>
    </w:tr>
  </w:tbl>
  <w:p w14:paraId="43E6069F" w14:textId="77777777" w:rsidR="00030CF8" w:rsidRDefault="00030C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022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64E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52C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D6E5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063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925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72D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A2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8A9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4E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F2561"/>
    <w:multiLevelType w:val="hybridMultilevel"/>
    <w:tmpl w:val="3EFCA426"/>
    <w:lvl w:ilvl="0" w:tplc="DBCCD8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8C01DA"/>
    <w:multiLevelType w:val="hybridMultilevel"/>
    <w:tmpl w:val="65725AFA"/>
    <w:lvl w:ilvl="0" w:tplc="01A6B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B3959"/>
    <w:multiLevelType w:val="hybridMultilevel"/>
    <w:tmpl w:val="A8DEC59E"/>
    <w:lvl w:ilvl="0" w:tplc="8A6AA89A">
      <w:start w:val="1"/>
      <w:numFmt w:val="lowerRoman"/>
      <w:lvlText w:val="(%1)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C0FF6"/>
    <w:multiLevelType w:val="hybridMultilevel"/>
    <w:tmpl w:val="05B2C114"/>
    <w:lvl w:ilvl="0" w:tplc="8C121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B7"/>
    <w:rsid w:val="00024A7E"/>
    <w:rsid w:val="00030CF8"/>
    <w:rsid w:val="00052871"/>
    <w:rsid w:val="00082766"/>
    <w:rsid w:val="000C6B2A"/>
    <w:rsid w:val="00142598"/>
    <w:rsid w:val="001F697F"/>
    <w:rsid w:val="00213463"/>
    <w:rsid w:val="00266B2D"/>
    <w:rsid w:val="0030770C"/>
    <w:rsid w:val="003227ED"/>
    <w:rsid w:val="004512C5"/>
    <w:rsid w:val="004560DA"/>
    <w:rsid w:val="005670D9"/>
    <w:rsid w:val="007F3650"/>
    <w:rsid w:val="007F6D73"/>
    <w:rsid w:val="00825FA2"/>
    <w:rsid w:val="00853D26"/>
    <w:rsid w:val="00955737"/>
    <w:rsid w:val="00A8432B"/>
    <w:rsid w:val="00AC3AF6"/>
    <w:rsid w:val="00C8720C"/>
    <w:rsid w:val="00CC61B7"/>
    <w:rsid w:val="00D4672C"/>
    <w:rsid w:val="00E27165"/>
    <w:rsid w:val="00EA0224"/>
    <w:rsid w:val="00EC0E16"/>
    <w:rsid w:val="00F8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B54C3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5573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61B7"/>
    <w:pPr>
      <w:ind w:left="720"/>
    </w:pPr>
  </w:style>
  <w:style w:type="paragraph" w:styleId="lfej">
    <w:name w:val="header"/>
    <w:basedOn w:val="Norml"/>
    <w:link w:val="lfejChar"/>
    <w:unhideWhenUsed/>
    <w:rsid w:val="00CC61B7"/>
    <w:pPr>
      <w:tabs>
        <w:tab w:val="center" w:pos="4536"/>
        <w:tab w:val="right" w:pos="9072"/>
      </w:tabs>
      <w:jc w:val="both"/>
    </w:pPr>
    <w:rPr>
      <w:rFonts w:ascii="Times New Roman" w:hAnsi="Times New Roman" w:cstheme="minorBidi"/>
    </w:rPr>
  </w:style>
  <w:style w:type="character" w:customStyle="1" w:styleId="lfejChar">
    <w:name w:val="Élőfej Char"/>
    <w:basedOn w:val="Bekezdsalapbettpusa"/>
    <w:link w:val="lfej"/>
    <w:rsid w:val="00CC61B7"/>
    <w:rPr>
      <w:rFonts w:ascii="Times New Roman" w:hAnsi="Times New Roman"/>
    </w:rPr>
  </w:style>
  <w:style w:type="character" w:styleId="Hiperhivatkozs">
    <w:name w:val="Hyperlink"/>
    <w:basedOn w:val="Bekezdsalapbettpusa"/>
    <w:uiPriority w:val="99"/>
    <w:unhideWhenUsed/>
    <w:rsid w:val="00CC61B7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030C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0CF8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03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30C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CF8"/>
    <w:rPr>
      <w:rFonts w:ascii="Segoe UI" w:hAnsi="Segoe UI" w:cs="Segoe UI"/>
      <w:sz w:val="18"/>
      <w:szCs w:val="18"/>
    </w:rPr>
  </w:style>
  <w:style w:type="paragraph" w:customStyle="1" w:styleId="Tjkoztatcm">
    <w:name w:val="Tájékoztató cím"/>
    <w:basedOn w:val="Norml"/>
    <w:link w:val="TjkoztatcmChar"/>
    <w:autoRedefine/>
    <w:qFormat/>
    <w:rsid w:val="00AC3AF6"/>
    <w:pPr>
      <w:spacing w:before="100" w:after="30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jkoztatszveg">
    <w:name w:val="Tájékoztató szöveg"/>
    <w:basedOn w:val="Norml"/>
    <w:link w:val="TjkoztatszvegChar"/>
    <w:autoRedefine/>
    <w:qFormat/>
    <w:rsid w:val="00213463"/>
    <w:pPr>
      <w:spacing w:before="100" w:after="2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jkoztatcmChar">
    <w:name w:val="Tájékoztató cím Char"/>
    <w:basedOn w:val="Bekezdsalapbettpusa"/>
    <w:link w:val="Tjkoztatcm"/>
    <w:rsid w:val="00AC3AF6"/>
    <w:rPr>
      <w:rFonts w:ascii="Times New Roman" w:hAnsi="Times New Roman" w:cs="Times New Roman"/>
      <w:b/>
      <w:bCs/>
      <w:sz w:val="24"/>
      <w:szCs w:val="24"/>
    </w:rPr>
  </w:style>
  <w:style w:type="paragraph" w:customStyle="1" w:styleId="Tjkoztatfelsorolstrzs">
    <w:name w:val="Tájékoztató felsorolás_törzs"/>
    <w:basedOn w:val="Tjkoztatszveg"/>
    <w:link w:val="TjkoztatfelsorolstrzsChar"/>
    <w:autoRedefine/>
    <w:qFormat/>
    <w:rsid w:val="00024A7E"/>
    <w:pPr>
      <w:spacing w:after="100"/>
    </w:pPr>
  </w:style>
  <w:style w:type="character" w:customStyle="1" w:styleId="TjkoztatszvegChar">
    <w:name w:val="Tájékoztató szöveg Char"/>
    <w:basedOn w:val="Bekezdsalapbettpusa"/>
    <w:link w:val="Tjkoztatszveg"/>
    <w:rsid w:val="00213463"/>
    <w:rPr>
      <w:rFonts w:ascii="Times New Roman" w:hAnsi="Times New Roman" w:cs="Times New Roman"/>
      <w:sz w:val="24"/>
      <w:szCs w:val="24"/>
    </w:rPr>
  </w:style>
  <w:style w:type="paragraph" w:customStyle="1" w:styleId="Tjkoztatfelsorolsutolselem">
    <w:name w:val="Tájékoztató felsorolás_utolsó elem"/>
    <w:basedOn w:val="Tjkoztatfelsorolstrzs"/>
    <w:link w:val="TjkoztatfelsorolsutolselemChar"/>
    <w:autoRedefine/>
    <w:qFormat/>
    <w:rsid w:val="00024A7E"/>
    <w:pPr>
      <w:spacing w:after="200"/>
    </w:pPr>
  </w:style>
  <w:style w:type="character" w:customStyle="1" w:styleId="TjkoztatfelsorolstrzsChar">
    <w:name w:val="Tájékoztató felsorolás_törzs Char"/>
    <w:basedOn w:val="TjkoztatszvegChar"/>
    <w:link w:val="Tjkoztatfelsorolstrzs"/>
    <w:rsid w:val="00024A7E"/>
    <w:rPr>
      <w:rFonts w:ascii="Times New Roman" w:hAnsi="Times New Roman" w:cs="Times New Roman"/>
      <w:sz w:val="24"/>
      <w:szCs w:val="24"/>
    </w:rPr>
  </w:style>
  <w:style w:type="character" w:customStyle="1" w:styleId="TjkoztatfelsorolsutolselemChar">
    <w:name w:val="Tájékoztató felsorolás_utolsó elem Char"/>
    <w:basedOn w:val="TjkoztatfelsorolstrzsChar"/>
    <w:link w:val="Tjkoztatfelsorolsutolselem"/>
    <w:rsid w:val="00024A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vasiadvocat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3746-4C0B-432E-80D4-980511E2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2020-05-05T09:25:00Z</dcterms:created>
  <dcterms:modified xsi:type="dcterms:W3CDTF">2020-05-05T09:25:00Z</dcterms:modified>
</cp:coreProperties>
</file>